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10.0" w:type="dxa"/>
        <w:tblBorders>
          <w:top w:color="d5d5d5" w:space="0" w:sz="4" w:val="single"/>
          <w:bottom w:color="d5d5d5" w:space="0" w:sz="4" w:val="single"/>
        </w:tblBorders>
        <w:tblLayout w:type="fixed"/>
        <w:tblLook w:val="0000"/>
      </w:tblPr>
      <w:tblGrid>
        <w:gridCol w:w="7685"/>
        <w:gridCol w:w="1921"/>
        <w:tblGridChange w:id="0">
          <w:tblGrid>
            <w:gridCol w:w="7685"/>
            <w:gridCol w:w="1921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bottom w:w="0.0" w:type="dxa"/>
            </w:tcMar>
          </w:tcPr>
          <w:p w:rsidR="00000000" w:rsidDel="00000000" w:rsidP="00000000" w:rsidRDefault="00000000" w:rsidRPr="00000000" w14:paraId="00000002">
            <w:pPr>
              <w:spacing w:after="0" w:lineRule="auto"/>
              <w:rPr/>
            </w:pPr>
            <w:r w:rsidDel="00000000" w:rsidR="00000000" w:rsidRPr="00000000">
              <w:rPr>
                <w:rFonts w:ascii="Lato Black" w:cs="Lato Black" w:eastAsia="Lato Black" w:hAnsi="Lato Black"/>
                <w:b w:val="1"/>
                <w:rtl w:val="0"/>
              </w:rPr>
              <w:t xml:space="preserve">Policy 216.02: Board of Directors' Member Development and Training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bottom w:w="0.0" w:type="dxa"/>
            </w:tcMar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Fonts w:ascii="Lato Black" w:cs="Lato Black" w:eastAsia="Lato Black" w:hAnsi="Lato Black"/>
                <w:b w:val="1"/>
                <w:rtl w:val="0"/>
              </w:rPr>
              <w:t xml:space="preserve">Status: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ADOPTED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bottom w:w="0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Fonts w:ascii="Lato Black" w:cs="Lato Black" w:eastAsia="Lato Black" w:hAnsi="Lato Black"/>
                <w:b w:val="1"/>
                <w:sz w:val="18"/>
                <w:szCs w:val="18"/>
                <w:rtl w:val="0"/>
              </w:rPr>
              <w:t xml:space="preserve">Original Adopted Date: </w:t>
            </w: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03/20/2024</w:t>
            </w:r>
            <w:r w:rsidDel="00000000" w:rsidR="00000000" w:rsidRPr="00000000">
              <w:rPr>
                <w:rFonts w:ascii="Lato Black" w:cs="Lato Black" w:eastAsia="Lato Black" w:hAnsi="Lato Black"/>
                <w:b w:val="1"/>
                <w:sz w:val="18"/>
                <w:szCs w:val="18"/>
                <w:rtl w:val="0"/>
              </w:rPr>
              <w:t xml:space="preserve"> | Last Revised: </w:t>
            </w: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03/20/2024</w:t>
            </w:r>
            <w:r w:rsidDel="00000000" w:rsidR="00000000" w:rsidRPr="00000000">
              <w:rPr>
                <w:rFonts w:ascii="Lato Black" w:cs="Lato Black" w:eastAsia="Lato Black" w:hAnsi="Lato Black"/>
                <w:b w:val="1"/>
                <w:sz w:val="18"/>
                <w:szCs w:val="18"/>
                <w:rtl w:val="0"/>
              </w:rPr>
              <w:t xml:space="preserve"> | Last Reviewed: </w:t>
            </w: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03/20/2024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bottom w:w="0.0" w:type="dxa"/>
            </w:tcMar>
          </w:tcPr>
          <w:p w:rsidR="00000000" w:rsidDel="00000000" w:rsidP="00000000" w:rsidRDefault="00000000" w:rsidRPr="00000000" w14:paraId="000000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3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Lato" w:cs="Lato" w:eastAsia="Lato" w:hAnsi="Lato"/>
        </w:rPr>
      </w:pPr>
      <w:bookmarkStart w:colFirst="0" w:colLast="0" w:name="_heading=h.gjdgxs" w:id="0"/>
      <w:bookmarkEnd w:id="0"/>
      <w:r w:rsidDel="00000000" w:rsidR="00000000" w:rsidRPr="00000000">
        <w:rPr>
          <w:rFonts w:ascii="Lato" w:cs="Lato" w:eastAsia="Lato" w:hAnsi="Lato"/>
          <w:rtl w:val="0"/>
        </w:rPr>
        <w:t xml:space="preserve">High achieving school boards work as a team to create high expectations for all students.  Board learning is foundational to creating this solid governance structure focused on student learning for school boards. The Tri-County board may participate in conferences sponsored by educational associations and agencies in addition to its own in-service programs and work sessions.</w:t>
        <w:br w:type="textWrapping"/>
        <w:br w:type="textWrapping"/>
        <w:t xml:space="preserve">The board will work closely with the Iowa Association of School Boards' and encourage the board members to participate in   qualifying learning opportunities to achieve the   Annual Board Award.</w:t>
        <w:br w:type="textWrapping"/>
        <w:t xml:space="preserve">  </w:t>
        <w:br w:type="textWrapping"/>
        <w:br w:type="textWrapping"/>
        <w:br w:type="textWrapping"/>
        <w:t xml:space="preserve">  </w:t>
      </w:r>
    </w:p>
    <w:tbl>
      <w:tblPr>
        <w:tblStyle w:val="Table2"/>
        <w:tblW w:w="10500.0" w:type="dxa"/>
        <w:jc w:val="left"/>
        <w:tblLayout w:type="fixed"/>
        <w:tblLook w:val="0400"/>
      </w:tblPr>
      <w:tblGrid>
        <w:gridCol w:w="1875"/>
        <w:gridCol w:w="8625"/>
        <w:tblGridChange w:id="0">
          <w:tblGrid>
            <w:gridCol w:w="1875"/>
            <w:gridCol w:w="86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Legal Reference: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Iowa Code §§ 279.8, .38.</w:t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0000" w:space="1" w:sz="5" w:val="single"/>
        </w:pBd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993.0" w:type="dxa"/>
        <w:jc w:val="left"/>
        <w:tblInd w:w="10.0" w:type="dxa"/>
        <w:tblLayout w:type="fixed"/>
        <w:tblLook w:val="0000"/>
      </w:tblPr>
      <w:tblGrid>
        <w:gridCol w:w="4023"/>
        <w:gridCol w:w="5970"/>
        <w:tblGridChange w:id="0">
          <w:tblGrid>
            <w:gridCol w:w="4023"/>
            <w:gridCol w:w="597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spacing w:after="0" w:lineRule="auto"/>
              <w:rPr/>
            </w:pPr>
            <w:r w:rsidDel="00000000" w:rsidR="00000000" w:rsidRPr="00000000">
              <w:rPr>
                <w:rFonts w:ascii="Lato Black" w:cs="Lato Black" w:eastAsia="Lato Black" w:hAnsi="Lato Black"/>
                <w:b w:val="1"/>
                <w:rtl w:val="0"/>
              </w:rPr>
              <w:t xml:space="preserve">I.C. Iowa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Fonts w:ascii="Lato Black" w:cs="Lato Black" w:eastAsia="Lato Black" w:hAnsi="Lato Black"/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spacing w:after="0" w:lineRule="auto"/>
              <w:rPr/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Iowa Code  § 279.8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hyperlink r:id="rId7">
              <w:r w:rsidDel="00000000" w:rsidR="00000000" w:rsidRPr="00000000">
                <w:rPr>
                  <w:rFonts w:ascii="Lato" w:cs="Lato" w:eastAsia="Lato" w:hAnsi="Lato"/>
                  <w:color w:val="0563c1"/>
                  <w:u w:val="single"/>
                  <w:rtl w:val="0"/>
                </w:rPr>
                <w:t xml:space="preserve">Directors - General Rules - Bonds of Employees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spacing w:after="0" w:lineRule="auto"/>
              <w:rPr/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Iowa Code § 279.38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hyperlink r:id="rId8">
              <w:r w:rsidDel="00000000" w:rsidR="00000000" w:rsidRPr="00000000">
                <w:rPr>
                  <w:rFonts w:ascii="Lato" w:cs="Lato" w:eastAsia="Lato" w:hAnsi="Lato"/>
                  <w:color w:val="0563c1"/>
                  <w:u w:val="single"/>
                  <w:rtl w:val="0"/>
                </w:rPr>
                <w:t xml:space="preserve">Membership in Association of School Boards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9f9f9" w:val="clear"/>
        <w:spacing w:line="480" w:lineRule="auto"/>
        <w:rPr>
          <w:rFonts w:ascii="Lato Black" w:cs="Lato Black" w:eastAsia="Lato Black" w:hAnsi="Lato Black"/>
          <w:b w:val="1"/>
        </w:rPr>
      </w:pPr>
      <w:r w:rsidDel="00000000" w:rsidR="00000000" w:rsidRPr="00000000">
        <w:rPr>
          <w:rFonts w:ascii="Lato Black" w:cs="Lato Black" w:eastAsia="Lato Black" w:hAnsi="Lato Black"/>
          <w:b w:val="1"/>
          <w:rtl w:val="0"/>
        </w:rPr>
        <w:t xml:space="preserve">Cross References</w:t>
      </w:r>
    </w:p>
    <w:tbl>
      <w:tblPr>
        <w:tblStyle w:val="Table4"/>
        <w:tblW w:w="9993.0" w:type="dxa"/>
        <w:jc w:val="left"/>
        <w:tblInd w:w="10.0" w:type="dxa"/>
        <w:tblLayout w:type="fixed"/>
        <w:tblLook w:val="0000"/>
      </w:tblPr>
      <w:tblGrid>
        <w:gridCol w:w="4023"/>
        <w:gridCol w:w="5970"/>
        <w:tblGridChange w:id="0">
          <w:tblGrid>
            <w:gridCol w:w="4023"/>
            <w:gridCol w:w="597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Fonts w:ascii="Lato Black" w:cs="Lato Black" w:eastAsia="Lato Black" w:hAnsi="Lato Black"/>
                <w:b w:val="1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spacing w:after="0" w:lineRule="auto"/>
              <w:rPr/>
            </w:pPr>
            <w:r w:rsidDel="00000000" w:rsidR="00000000" w:rsidRPr="00000000">
              <w:rPr>
                <w:rFonts w:ascii="Lato Black" w:cs="Lato Black" w:eastAsia="Lato Black" w:hAnsi="Lato Black"/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216.01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hyperlink r:id="rId9">
              <w:r w:rsidDel="00000000" w:rsidR="00000000" w:rsidRPr="00000000">
                <w:rPr>
                  <w:rFonts w:ascii="Lato" w:cs="Lato" w:eastAsia="Lato" w:hAnsi="Lato"/>
                  <w:color w:val="0563c1"/>
                  <w:u w:val="single"/>
                  <w:rtl w:val="0"/>
                </w:rPr>
                <w:t xml:space="preserve">Association Membership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402" w:top="617" w:left="1434" w:right="12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 Black">
    <w:embedBold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5.0" w:type="dxa"/>
        <w:left w:w="45.0" w:type="dxa"/>
        <w:bottom w:w="45.0" w:type="dxa"/>
        <w:right w:w="4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imbli.eboardsolutions.com/Policy/ViewPolicy.aspx?S=36031104&amp;revid=b8fwB0Cplus7qwOChBKpqu5Gg==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egis.iowa.gov/docs/code/279.8.pdf" TargetMode="External"/><Relationship Id="rId8" Type="http://schemas.openxmlformats.org/officeDocument/2006/relationships/hyperlink" Target="https://www.legis.iowa.gov/docs/code/279.38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LatoBlack-bold.ttf"/><Relationship Id="rId6" Type="http://schemas.openxmlformats.org/officeDocument/2006/relationships/font" Target="fonts/LatoBlac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Ulm+avLtw4uNyqxnubhvt1wbGA==">CgMxLjAyCGguZ2pkZ3hzOAByITFxOU9iV0M5SnFsTU1mSEZNYXJDbUszdFE3Z0NPOWFaZg==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2024-02-14T20:17:00Z</dcterms:created>
  <dc:creator>Linda Heisdorffer</dc:creator>
</cp:coreProperties>
</file>